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2D5" w:rsidRDefault="00F262D5" w:rsidP="00F262D5">
      <w:pPr>
        <w:pStyle w:val="h1chapter"/>
        <w:rPr>
          <w:b w:val="0"/>
          <w:bCs w:val="0"/>
        </w:rPr>
      </w:pPr>
      <w:bookmarkStart w:id="0" w:name="_GoBack"/>
      <w:bookmarkEnd w:id="0"/>
      <w:r>
        <w:t xml:space="preserve">Rozdział 9. Szkody łowieckie. </w:t>
      </w:r>
    </w:p>
    <w:p w:rsidR="00F262D5" w:rsidRDefault="00F262D5" w:rsidP="00F262D5">
      <w:pPr>
        <w:rPr>
          <w:rFonts w:ascii="Times New Roman" w:hAnsi="Times New Roman" w:cs="Times New Roman"/>
          <w:color w:val="auto"/>
          <w:sz w:val="24"/>
          <w:szCs w:val="24"/>
        </w:rPr>
      </w:pPr>
    </w:p>
    <w:p w:rsidR="00F262D5" w:rsidRDefault="00F262D5" w:rsidP="00F262D5">
      <w:pPr>
        <w:rPr>
          <w:rFonts w:ascii="Times New Roman" w:hAnsi="Times New Roman" w:cs="Times New Roman"/>
          <w:color w:val="auto"/>
          <w:sz w:val="24"/>
          <w:szCs w:val="24"/>
        </w:rPr>
      </w:pPr>
    </w:p>
    <w:p w:rsidR="00F262D5" w:rsidRDefault="00F262D5" w:rsidP="00F262D5">
      <w:r>
        <w:rPr>
          <w:b/>
          <w:bCs/>
        </w:rPr>
        <w:t xml:space="preserve">Art. 46 [Podmioty odpowiedzialne] </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1. Dzierżawca lub zarządca obwodu łowieckiego jest obowiązany do wynagradzania szkód wyrządzonych:</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1) </w:t>
      </w:r>
      <w:r>
        <w:t xml:space="preserve"> w uprawach i płodach rolnych przez dziki, łosie, jelenie, daniele i sarny;</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2) </w:t>
      </w:r>
      <w:r>
        <w:t xml:space="preserve"> przy wykonywaniu polowania.</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2. Szacowania szkód, o których mowa w ust. 1, a także ustalania wysokości odszkodowania dokonuje zespół składający się z:</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1) </w:t>
      </w:r>
      <w:r>
        <w:t xml:space="preserve"> przedstawiciela wojewódzkiego ośrodka doradztwa rolniczego;</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2) </w:t>
      </w:r>
      <w:r>
        <w:t xml:space="preserve"> przedstawiciela dzierżawcy albo zarządcy obwodu łowieckiego;</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3) </w:t>
      </w:r>
      <w:r>
        <w:t xml:space="preserve"> właściciela albo posiadacza gruntów rolnych, na terenie których wystąpiła szkoda.</w:t>
      </w:r>
    </w:p>
    <w:p w:rsidR="00F262D5" w:rsidRDefault="00F262D5" w:rsidP="00F262D5">
      <w:pPr>
        <w:rPr>
          <w:rFonts w:ascii="Times New Roman" w:hAnsi="Times New Roman" w:cs="Times New Roman"/>
          <w:color w:val="auto"/>
          <w:sz w:val="24"/>
          <w:szCs w:val="24"/>
        </w:rPr>
      </w:pPr>
    </w:p>
    <w:p w:rsidR="00F262D5" w:rsidRPr="00F262D5" w:rsidRDefault="00F262D5" w:rsidP="00F262D5">
      <w:pPr>
        <w:pStyle w:val="divparagraph"/>
        <w:rPr>
          <w:color w:val="FF0000"/>
        </w:rPr>
      </w:pPr>
      <w:r w:rsidRPr="00F262D5">
        <w:rPr>
          <w:color w:val="FF0000"/>
        </w:rPr>
        <w:t>3. Wniosek o szacowanie szkód, o których mowa w ust. 1, w tym ustalenie wysokości odszkodowania, właściciel albo posiadacz gruntów rolnych składa do dzierżawcy albo zarządcy obwodu łowieckiego.</w:t>
      </w:r>
    </w:p>
    <w:p w:rsidR="00F262D5" w:rsidRPr="00F262D5" w:rsidRDefault="00F262D5" w:rsidP="00F262D5">
      <w:pPr>
        <w:rPr>
          <w:rFonts w:ascii="Times New Roman" w:hAnsi="Times New Roman" w:cs="Times New Roman"/>
          <w:color w:val="FF0000"/>
          <w:sz w:val="24"/>
          <w:szCs w:val="24"/>
        </w:rPr>
      </w:pPr>
    </w:p>
    <w:p w:rsidR="00F262D5" w:rsidRPr="00F262D5" w:rsidRDefault="00F262D5" w:rsidP="00F262D5">
      <w:pPr>
        <w:pStyle w:val="divparagraph"/>
        <w:rPr>
          <w:color w:val="FF0000"/>
        </w:rPr>
      </w:pPr>
      <w:r w:rsidRPr="00F262D5">
        <w:rPr>
          <w:color w:val="FF0000"/>
        </w:rPr>
        <w:t>4. Wniosek, o którym mowa w ust. 3, zawiera w szczególności:</w:t>
      </w:r>
    </w:p>
    <w:p w:rsidR="00F262D5" w:rsidRPr="00F262D5" w:rsidRDefault="00F262D5" w:rsidP="00F262D5">
      <w:pPr>
        <w:rPr>
          <w:rFonts w:ascii="Times New Roman" w:hAnsi="Times New Roman" w:cs="Times New Roman"/>
          <w:color w:val="FF0000"/>
          <w:sz w:val="24"/>
          <w:szCs w:val="24"/>
        </w:rPr>
      </w:pPr>
    </w:p>
    <w:p w:rsidR="00F262D5" w:rsidRPr="00F262D5" w:rsidRDefault="00F262D5" w:rsidP="00F262D5">
      <w:pPr>
        <w:pStyle w:val="divpoint"/>
        <w:rPr>
          <w:color w:val="FF0000"/>
        </w:rPr>
      </w:pPr>
      <w:r w:rsidRPr="00F262D5">
        <w:rPr>
          <w:b/>
          <w:bCs/>
          <w:color w:val="FF0000"/>
        </w:rPr>
        <w:t xml:space="preserve">1) </w:t>
      </w:r>
      <w:r w:rsidRPr="00F262D5">
        <w:rPr>
          <w:color w:val="FF0000"/>
        </w:rPr>
        <w:t xml:space="preserve"> imię i nazwisko albo nazwę, adres miejsca zamieszkania albo adres i siedzibę oraz numer telefonu właściciela albo posiadacza gruntów rolnych;</w:t>
      </w:r>
    </w:p>
    <w:p w:rsidR="00F262D5" w:rsidRPr="00F262D5" w:rsidRDefault="00F262D5" w:rsidP="00F262D5">
      <w:pPr>
        <w:rPr>
          <w:rFonts w:ascii="Times New Roman" w:hAnsi="Times New Roman" w:cs="Times New Roman"/>
          <w:color w:val="FF0000"/>
          <w:sz w:val="24"/>
          <w:szCs w:val="24"/>
        </w:rPr>
      </w:pPr>
    </w:p>
    <w:p w:rsidR="00F262D5" w:rsidRPr="00F262D5" w:rsidRDefault="00F262D5" w:rsidP="00F262D5">
      <w:pPr>
        <w:pStyle w:val="divpoint"/>
        <w:rPr>
          <w:color w:val="FF0000"/>
        </w:rPr>
      </w:pPr>
      <w:r w:rsidRPr="00F262D5">
        <w:rPr>
          <w:b/>
          <w:bCs/>
          <w:color w:val="FF0000"/>
        </w:rPr>
        <w:t xml:space="preserve">2) </w:t>
      </w:r>
      <w:r w:rsidRPr="00F262D5">
        <w:rPr>
          <w:color w:val="FF0000"/>
        </w:rPr>
        <w:t xml:space="preserve"> wskazanie miejsca wystąpienia szkody;</w:t>
      </w:r>
    </w:p>
    <w:p w:rsidR="00F262D5" w:rsidRPr="00F262D5" w:rsidRDefault="00F262D5" w:rsidP="00F262D5">
      <w:pPr>
        <w:rPr>
          <w:rFonts w:ascii="Times New Roman" w:hAnsi="Times New Roman" w:cs="Times New Roman"/>
          <w:color w:val="FF0000"/>
          <w:sz w:val="24"/>
          <w:szCs w:val="24"/>
        </w:rPr>
      </w:pPr>
    </w:p>
    <w:p w:rsidR="00F262D5" w:rsidRPr="00F262D5" w:rsidRDefault="00F262D5" w:rsidP="00F262D5">
      <w:pPr>
        <w:pStyle w:val="divpoint"/>
        <w:rPr>
          <w:color w:val="FF0000"/>
        </w:rPr>
      </w:pPr>
      <w:r w:rsidRPr="00F262D5">
        <w:rPr>
          <w:b/>
          <w:bCs/>
          <w:color w:val="FF0000"/>
        </w:rPr>
        <w:t xml:space="preserve">3) </w:t>
      </w:r>
      <w:r w:rsidRPr="00F262D5">
        <w:rPr>
          <w:color w:val="FF0000"/>
        </w:rPr>
        <w:t xml:space="preserve"> wskazanie rodzaju uszkodzonej uprawy lub płodu rolnego.</w:t>
      </w:r>
    </w:p>
    <w:p w:rsidR="00F262D5" w:rsidRPr="00F262D5" w:rsidRDefault="00F262D5" w:rsidP="00F262D5">
      <w:pPr>
        <w:rPr>
          <w:rFonts w:ascii="Times New Roman" w:hAnsi="Times New Roman" w:cs="Times New Roman"/>
          <w:color w:val="FF0000"/>
          <w:sz w:val="24"/>
          <w:szCs w:val="24"/>
        </w:rPr>
      </w:pPr>
    </w:p>
    <w:p w:rsidR="00F262D5" w:rsidRPr="00F262D5" w:rsidRDefault="00F262D5" w:rsidP="00F262D5">
      <w:pPr>
        <w:pStyle w:val="divparagraph"/>
        <w:rPr>
          <w:color w:val="FF0000"/>
        </w:rPr>
      </w:pPr>
      <w:r w:rsidRPr="00F262D5">
        <w:rPr>
          <w:color w:val="FF0000"/>
        </w:rPr>
        <w:t>5. Wniosek, o którym mowa w ust. 3, składa się w terminie umożliwiającym dokonanie szacowania szkód, o których mowa w ust. 1.</w:t>
      </w:r>
    </w:p>
    <w:p w:rsidR="00F262D5" w:rsidRPr="00F262D5" w:rsidRDefault="00F262D5" w:rsidP="00F262D5">
      <w:pPr>
        <w:rPr>
          <w:rFonts w:ascii="Times New Roman" w:hAnsi="Times New Roman" w:cs="Times New Roman"/>
          <w:color w:val="FF0000"/>
          <w:sz w:val="24"/>
          <w:szCs w:val="24"/>
        </w:rPr>
      </w:pPr>
    </w:p>
    <w:p w:rsidR="00F262D5" w:rsidRDefault="00F262D5" w:rsidP="00F262D5">
      <w:pPr>
        <w:pStyle w:val="divparagraph"/>
      </w:pPr>
      <w:r>
        <w:t>6. Szacowanie szkody składa się z:</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1) </w:t>
      </w:r>
      <w:r>
        <w:t xml:space="preserve"> oględzin;</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2) </w:t>
      </w:r>
      <w:r>
        <w:t xml:space="preserve"> szacowania ostatecznego.</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7. W przypadku szkód wyrządzonych w płodach rolnych, szkód wyrządzonych przez dziki na łąkach i pastwiskach oraz szkód w uprawach, jeżeli szkoda powstała i została zgłoszona bezpośrednio przed sprzętem lub w jego trakcie, dokonuje się wyłącznie szacowania ostatecznego.</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8. Niestawiennictwo właściciela albo posiadacza gruntów rolnych lub przedstawiciela wojewódzkiego ośrodka doradztwa rolniczego nie wstrzymuje dokonania szacowania szkód, o których mowa w ust. 1.</w:t>
      </w:r>
    </w:p>
    <w:p w:rsidR="00F262D5" w:rsidRDefault="00F262D5" w:rsidP="00F262D5">
      <w:pPr>
        <w:rPr>
          <w:rFonts w:ascii="Times New Roman" w:hAnsi="Times New Roman" w:cs="Times New Roman"/>
          <w:color w:val="auto"/>
          <w:sz w:val="24"/>
          <w:szCs w:val="24"/>
        </w:rPr>
      </w:pPr>
    </w:p>
    <w:p w:rsidR="00F262D5" w:rsidRDefault="00F262D5" w:rsidP="00F262D5">
      <w:r>
        <w:rPr>
          <w:b/>
          <w:bCs/>
        </w:rPr>
        <w:t xml:space="preserve">Art. 46a [Oględziny] </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1. Podczas oględzin ustala się:</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1) </w:t>
      </w:r>
      <w:r>
        <w:t xml:space="preserve"> gatunek zwierzyny, która wyrządziła szkodę;</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2) </w:t>
      </w:r>
      <w:r>
        <w:t xml:space="preserve"> rodzaj, stan i jakość uprawy;</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3) </w:t>
      </w:r>
      <w:r>
        <w:t xml:space="preserve"> obszar całej uprawy;</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lastRenderedPageBreak/>
        <w:t xml:space="preserve">4) </w:t>
      </w:r>
      <w:r>
        <w:t xml:space="preserve"> szacunkowy obszar uprawy, która została uszkodzona;</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5) </w:t>
      </w:r>
      <w:r>
        <w:t xml:space="preserve"> szacunkowy procent zniszczenia uprawy na uszkodzonym obszarze.</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2. Oględzin dokonuje się niezwłocznie, nie później niż w terminie 7 dni od dnia otrzymania wniosku, o którym mowa w art. 46 ust. 3.</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3. O terminie dokonania oględzin, o którym mowa w ust. 2, dzierżawca albo zarządca obwodu łowieckiego zawiadamia właściciela albo posiadacza gruntów rolnych oraz wojewódzki ośrodek doradztwa rolniczego właściwy ze względu na miejsce wystąpienia szkody, nie później niż przed upływem 3 dni od dnia otrzymania wniosku, o którym mowa w art. 46 ust. 3.</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4. Niezwłocznie po zakończeniu oględzin dzierżawca albo zarządca obwodu łowieckiego sporządza protokół, który zawiera w szczególności następujące dane i informacje:</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1) </w:t>
      </w:r>
      <w:r>
        <w:t xml:space="preserve"> imiona i nazwiska osób biorących udział w oględzinach;</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2) </w:t>
      </w:r>
      <w:r>
        <w:t xml:space="preserve"> datę sporządzenia protokołu oraz datę dokonania oględzin;</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3) </w:t>
      </w:r>
      <w:r>
        <w:t xml:space="preserve"> dane podlegające ustaleniu podczas oględzin, o których mowa w ust. 1;</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4) </w:t>
      </w:r>
      <w:r>
        <w:t xml:space="preserve"> szkic sytuacyjny uszkodzonej uprawy;</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5) </w:t>
      </w:r>
      <w:r>
        <w:t xml:space="preserve"> czytelne podpisy osób biorących udział w oględzinach.</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5. Członkowie zespołu, o którym mowa w art. 46 ust. 2, mają prawo wnieść zastrzeżenia do protokołu wraz z uzasadnieniem. W protokole umieszcza się informację o braku zastrzeżeń albo o wniesionych zastrzeżeniach.</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6. Protokół sporządza się w trzech jednobrzmiących egzemplarzach po jednym dla każdego członka zespołu, o którym mowa w art. 46 ust. 2.</w:t>
      </w:r>
    </w:p>
    <w:p w:rsidR="00F262D5" w:rsidRDefault="00F262D5" w:rsidP="00F262D5">
      <w:pPr>
        <w:rPr>
          <w:rFonts w:ascii="Times New Roman" w:hAnsi="Times New Roman" w:cs="Times New Roman"/>
          <w:color w:val="auto"/>
          <w:sz w:val="24"/>
          <w:szCs w:val="24"/>
        </w:rPr>
      </w:pPr>
    </w:p>
    <w:p w:rsidR="00F262D5" w:rsidRDefault="00F262D5" w:rsidP="00F262D5">
      <w:r>
        <w:rPr>
          <w:b/>
          <w:bCs/>
        </w:rPr>
        <w:t xml:space="preserve">Art. 46b </w:t>
      </w:r>
      <w:r>
        <w:rPr>
          <w:b/>
          <w:bCs/>
          <w:i/>
          <w:iCs/>
        </w:rPr>
        <w:t>(uchylony)</w:t>
      </w:r>
    </w:p>
    <w:p w:rsidR="00F262D5" w:rsidRDefault="00F262D5" w:rsidP="00F262D5">
      <w:pPr>
        <w:rPr>
          <w:rFonts w:ascii="Times New Roman" w:hAnsi="Times New Roman" w:cs="Times New Roman"/>
          <w:color w:val="auto"/>
          <w:sz w:val="24"/>
          <w:szCs w:val="24"/>
        </w:rPr>
      </w:pPr>
    </w:p>
    <w:p w:rsidR="00F262D5" w:rsidRDefault="00F262D5" w:rsidP="00F262D5">
      <w:r>
        <w:rPr>
          <w:b/>
          <w:bCs/>
        </w:rPr>
        <w:t xml:space="preserve">Art. 46c [Szacowanie ostateczne] </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1. Podczas szacowania ostatecznego ustala się:</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1) </w:t>
      </w:r>
      <w:r>
        <w:t xml:space="preserve"> gatunek zwierzyny, która wyrządziła szkodę;</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2) </w:t>
      </w:r>
      <w:r>
        <w:t xml:space="preserve"> rodzaj uprawy lub płodu rolnego;</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3) </w:t>
      </w:r>
      <w:r>
        <w:t xml:space="preserve"> stan i jakość uprawy lub jakość płodu rolnego;</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4) </w:t>
      </w:r>
      <w:r>
        <w:t xml:space="preserve"> obszar całej uprawy lub szacunkową masę zgromadzonego płodu rolnego;</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5) </w:t>
      </w:r>
      <w:r>
        <w:t xml:space="preserve"> obszar uprawy, która została uszkodzona, lub szacunkową masę uszkodzonego płodu rolnego;</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6) </w:t>
      </w:r>
      <w:r>
        <w:t xml:space="preserve"> procent zniszczenia uprawy na uszkodzonym obszarze;</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7) </w:t>
      </w:r>
      <w:r>
        <w:t xml:space="preserve"> plon z 1 ha;</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8) </w:t>
      </w:r>
      <w:r>
        <w:t xml:space="preserve"> wysokość odszkodowania.</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2. Szacowania ostatecznego dokonuje się najpóźniej w dzień sprzętu, przed dokonaniem sprzętu uszkodzonej uprawy, a w przypadkach, o których mowa w art. 46 ust. 7, w terminie 7 dni od dnia otrzymania wniosku, o którym mowa w art. 46 ust. 3.</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 xml:space="preserve">3. O terminie planowanego sprzętu uszkodzonej uprawy właściciel albo posiadacz gruntów rolnych jest obowiązany powiadomić dzierżawcę albo zarządcę obwodu łowieckiego, w formie pisemnej, w terminie 7 dni </w:t>
      </w:r>
      <w:r>
        <w:lastRenderedPageBreak/>
        <w:t>przed zamierzonym sprzętem.</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4. O terminie dokonania szacowania ostatecznego szkody dzierżawca albo zarządca obwodu łowieckiego zawiadamia właściciela albo posiadacza gruntów rolnych oraz wojewódzki ośrodek doradztwa rolniczego właściwy ze względu na miejsce wystąpienia szkody, nie później niż przed upływem 3 dni od dnia otrzymania powiadomienia, o którym mowa w ust. 3, a w przypadkach, o których mowa w art. 46 ust. 7 - w terminie 3 dni od dnia otrzymania wniosku, o którym mowa w art. 46 ust. 3.</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5. Niezwłocznie po zakończeniu szacowania ostatecznego dzierżawca albo zarządca obwodu łowieckiego sporządza protokół, który zawiera w szczególności następujące dane i informacje:</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1) </w:t>
      </w:r>
      <w:r>
        <w:t xml:space="preserve"> imiona i nazwiska osób biorących udział w szacowaniu ostatecznym;</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2) </w:t>
      </w:r>
      <w:r>
        <w:t xml:space="preserve"> datę sporządzenia protokołu oraz datę dokonania szacowania ostatecznego;</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3) </w:t>
      </w:r>
      <w:r>
        <w:t xml:space="preserve"> dane podlegające ustaleniu podczas szacowania ostatecznego, o których mowa w ust. 1;</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4) </w:t>
      </w:r>
      <w:r>
        <w:t xml:space="preserve"> szkic sytuacyjny uszkodzonej uprawy;</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5) </w:t>
      </w:r>
      <w:r>
        <w:t xml:space="preserve"> czytelne podpisy osób biorących udział w szacowaniu ostatecznym.</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6. Członkowie zespołu, o którym mowa w art. 46 ust. 2, mają prawo wnieść zastrzeżenia do protokołu wraz z uzasadnieniem. W protokole umieszcza się informację o braku zastrzeżeń albo o wniesionych zastrzeżeniach.</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7. Protokół sporządza się w trzech jednobrzmiących egzemplarzach po jednym dla każdego członka zespołu, o którym mowa w art. 46 ust. 2.</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8. Wypłaty odszkodowania dokonuje dzierżawca albo zarządca obwodu łowieckiego w terminie 30 dni od dnia sporządzenia protokołu z szacowania ostatecznego, od którego nie wniesiono odwołania.</w:t>
      </w:r>
    </w:p>
    <w:p w:rsidR="00F262D5" w:rsidRDefault="00F262D5" w:rsidP="00F262D5">
      <w:pPr>
        <w:rPr>
          <w:rFonts w:ascii="Times New Roman" w:hAnsi="Times New Roman" w:cs="Times New Roman"/>
          <w:color w:val="auto"/>
          <w:sz w:val="24"/>
          <w:szCs w:val="24"/>
        </w:rPr>
      </w:pPr>
    </w:p>
    <w:p w:rsidR="00F262D5" w:rsidRDefault="00F262D5" w:rsidP="00F262D5">
      <w:r>
        <w:rPr>
          <w:b/>
          <w:bCs/>
        </w:rPr>
        <w:t xml:space="preserve">Art. 46d [Odwołanie] </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1. Właścicielowi albo posiadaczowi gruntów rolnych, na terenie których wystąpiła szkoda, oraz dzierżawcy albo zarządcy obwodu łowieckiego przysługuje odwołanie do nadleśniczego Państwowego Gospodarstwa Leśnego Lasy Państwowe właściwego ze względu na miejsce wystąpienia szkody. Odwołanie wnosi się w terminie 7 dni od dnia podpisania protokołu, o którym mowa w art. 46a ust. 4 albo art. 46c ust. 5.</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2. W celu rozpatrzenia odwołania nadleśniczy Państwowego Gospodarstwa Leśnego Lasy Państwowe dokonuje odpowiednio oględzin lub szacowania ostatecznego. Oględzin lub szacowania ostatecznego dokonuje nadleśniczy Państwowego Gospodarstwa Leśnego Lasy Państwowe właściwy ze względu na miejsce wystąpienia szkód lub jego przedstawiciel.</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3. Oględzin lub szacowania ostatecznego, o których mowa w ust. 2, dokonuje się niezwłocznie, nie później niż w terminie 7 dni od dnia otrzymania odwołania, o którym mowa w ust. 1.</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4. W oględzinach lub szacowaniu ostatecznym, o których mowa w ust. 2, mają prawo brać udział członkowie zespołu, o którym mowa w art. 46 ust. 2.</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5. Na pisemny wniosek członka zespołu, o którym mowa w art. 46 ust. 2, w oględzinach lub szacowaniu ostatecznym, o których mowa w ust. 2, może również brać udział przedstawiciel właściwej ze względu na miejsce wystąpienia szkód izby rolniczej.</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6. O terminie oględzin lub szacowania ostatecznego nadleśniczy Państwowego Gospodarstwa Leśnego Lasy Państwowe zawiadamia:</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1) </w:t>
      </w:r>
      <w:r>
        <w:t xml:space="preserve"> członków zespołu, o którym mowa w art. 46 ust. 2,</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2) </w:t>
      </w:r>
      <w:r>
        <w:t xml:space="preserve"> jeżeli został złożony wniosek, o którym mowa w ust. 5, przedstawiciela właściwej ze względu na miejsce wystąpienia szkód izby rolniczej</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lastRenderedPageBreak/>
        <w:t>- nie później jednak niż przed upływem 3 dni od dnia otrzymania odwołania.</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7. Niestawiennictwo osób, o których mowa w ust. 6, nie wstrzymuje dokonania oględzin lub szacowania ostatecznego.</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8. Po zakończeniu oględzin lub szacowania ostatecznego sporządza się protokół, który zawiera w szczególności dane określone w art. 46a ust. 4 lub art. 46c ust. 5 z wyłączeniem informacji o wysokości odszkodowania.</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9. W przypadku gdy został złożony wniosek, o którym mowa w ust. 5, do protokołu załącza się opinię przedstawiciela właściwej ze względu na miejsce wystąpienia szkody izby rolniczej na temat oszacowania szkody.</w:t>
      </w:r>
    </w:p>
    <w:p w:rsidR="00F262D5" w:rsidRDefault="00F262D5" w:rsidP="00F262D5">
      <w:pPr>
        <w:rPr>
          <w:rFonts w:ascii="Times New Roman" w:hAnsi="Times New Roman" w:cs="Times New Roman"/>
          <w:color w:val="auto"/>
          <w:sz w:val="24"/>
          <w:szCs w:val="24"/>
        </w:rPr>
      </w:pPr>
    </w:p>
    <w:p w:rsidR="00F262D5" w:rsidRDefault="00F262D5" w:rsidP="00F262D5">
      <w:r>
        <w:rPr>
          <w:b/>
          <w:bCs/>
        </w:rPr>
        <w:t xml:space="preserve">Art. 46e [Odszkodowanie] </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1. Nadleśniczy Państwowego Gospodarstwa Leśnego Lasy Państwowe właściwy ze względu na miejsce wystąpienia szkód ustala wysokość odszkodowania, w drodze decyzji, biorąc w szczególności pod uwagę ustalenia zawarte w protokołach, o których mowa w art. 46a ust. 4, art. 46c ust. 5 i art. 46d ust. 8. Opinia przedstawiciela izby rolniczej, o której mowa w art. 46d ust. 9, nie jest wiążąca.</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2. Decyzja, o której mowa w ust. 1, wydawana jest w terminie 14 dni od dnia otrzymania protokołów, o których mowa w ust. 1, i jest ostateczna.</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3. Wypłata odszkodowania, o którym mowa w ust. 1, następuje ze środków dzierżawcy albo zarządcy obwodu łowieckiego, nie później niż w terminie 30 dni od dnia doręczenia decyzji, o której mowa w ust. 1.</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4. Właściciel albo posiadacz gruntów rolnych, na których zostały wyrządzone szkody, o których mowa w art. 46 ust. 1, a także dzierżawca albo zarządca obwodu łowieckiego niezadowolony z decyzji, o której mowa w ust. 1, może, w terminie trzech miesięcy od dnia jej doręczenia, wnieść powództwo do sądu właściwego ze względu na miejsce wystąpienia szkody.</w:t>
      </w:r>
    </w:p>
    <w:p w:rsidR="00F262D5" w:rsidRDefault="00F262D5" w:rsidP="00F262D5">
      <w:pPr>
        <w:rPr>
          <w:rFonts w:ascii="Times New Roman" w:hAnsi="Times New Roman" w:cs="Times New Roman"/>
          <w:color w:val="auto"/>
          <w:sz w:val="24"/>
          <w:szCs w:val="24"/>
        </w:rPr>
      </w:pPr>
    </w:p>
    <w:p w:rsidR="00F262D5" w:rsidRDefault="00F262D5" w:rsidP="00F262D5">
      <w:r>
        <w:rPr>
          <w:b/>
          <w:bCs/>
        </w:rPr>
        <w:t xml:space="preserve">Art. 46f [Właściwość organu] </w:t>
      </w:r>
      <w:r>
        <w:t>W przypadku gdy obwód łowiecki, na terenie którego wystąpiła szkoda, o której mowa w art. 46 ust. 1, został wyłączony z wydzierżawiania i przekazany w zarząd nadleśnictwa Państwowego Gospodarstwa Leśnego Lasy Państwowe, właściwym w sprawie ustalenia wysokości odszkodowania zgodnie z art. 46d i art. 46e jest dyrektor regionalnej dyrekcji Państwowego Gospodarstwa Leśnego Lasy Państwowe właściwy ze względu na miejsce wystąpienia szkody.</w:t>
      </w:r>
    </w:p>
    <w:p w:rsidR="00F262D5" w:rsidRDefault="00F262D5" w:rsidP="00F262D5">
      <w:pPr>
        <w:rPr>
          <w:rFonts w:ascii="Times New Roman" w:hAnsi="Times New Roman" w:cs="Times New Roman"/>
          <w:color w:val="auto"/>
          <w:sz w:val="24"/>
          <w:szCs w:val="24"/>
        </w:rPr>
      </w:pPr>
    </w:p>
    <w:p w:rsidR="00F262D5" w:rsidRDefault="00F262D5" w:rsidP="00F262D5">
      <w:r>
        <w:rPr>
          <w:b/>
          <w:bCs/>
        </w:rPr>
        <w:t xml:space="preserve">Art. 46g [Organizacja szkoleń] </w:t>
      </w:r>
      <w:r>
        <w:t>Państwowe Gospodarstwo Leśne Lasy Państwowe organizuje szkolenia w zakresie szacowania szkód łowieckich dla:</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1) </w:t>
      </w:r>
      <w:r>
        <w:t xml:space="preserve"> przedstawicieli wojewódzkich ośrodków doradztwa rolniczego;</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2) </w:t>
      </w:r>
      <w:r>
        <w:t xml:space="preserve"> przedstawicieli izb rolniczych, o których mowa w art. 46d ust. 5;</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3) </w:t>
      </w:r>
      <w:r>
        <w:t xml:space="preserve"> przedstawicieli dzierżawców i zarządców obwodów łowieckich.</w:t>
      </w:r>
    </w:p>
    <w:p w:rsidR="00F262D5" w:rsidRDefault="00F262D5" w:rsidP="00F262D5">
      <w:pPr>
        <w:rPr>
          <w:rFonts w:ascii="Times New Roman" w:hAnsi="Times New Roman" w:cs="Times New Roman"/>
          <w:color w:val="auto"/>
          <w:sz w:val="24"/>
          <w:szCs w:val="24"/>
        </w:rPr>
      </w:pPr>
    </w:p>
    <w:p w:rsidR="00F262D5" w:rsidRDefault="00F262D5" w:rsidP="00F262D5">
      <w:r>
        <w:rPr>
          <w:b/>
          <w:bCs/>
        </w:rPr>
        <w:t xml:space="preserve">Art. 47 [Zabezpieczenie przed szkodami] </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1. Właściciele lub posiadacze gruntów rolnych i leśnych powinni, zgodnie z potrzebami, współdziałać z dzierżawcami i zarządcami obwodów łowieckich w zabezpieczaniu gruntów przed szkodami, o których mowa w art. 46.</w:t>
      </w:r>
    </w:p>
    <w:p w:rsidR="00F262D5" w:rsidRDefault="00F262D5" w:rsidP="00F262D5">
      <w:pPr>
        <w:rPr>
          <w:rFonts w:ascii="Times New Roman" w:hAnsi="Times New Roman" w:cs="Times New Roman"/>
          <w:color w:val="auto"/>
          <w:sz w:val="24"/>
          <w:szCs w:val="24"/>
        </w:rPr>
      </w:pPr>
    </w:p>
    <w:p w:rsidR="00F262D5" w:rsidRDefault="00F262D5" w:rsidP="00F262D5">
      <w:pPr>
        <w:pStyle w:val="divparagraph"/>
      </w:pPr>
      <w:r>
        <w:t>2.</w:t>
      </w:r>
      <w:r>
        <w:rPr>
          <w:i/>
          <w:iCs/>
        </w:rPr>
        <w:t>(uchylony)</w:t>
      </w:r>
    </w:p>
    <w:p w:rsidR="00F262D5" w:rsidRDefault="00F262D5" w:rsidP="00F262D5">
      <w:pPr>
        <w:rPr>
          <w:rFonts w:ascii="Times New Roman" w:hAnsi="Times New Roman" w:cs="Times New Roman"/>
          <w:color w:val="auto"/>
          <w:sz w:val="24"/>
          <w:szCs w:val="24"/>
        </w:rPr>
      </w:pPr>
    </w:p>
    <w:p w:rsidR="00F262D5" w:rsidRDefault="00F262D5" w:rsidP="00F262D5">
      <w:r>
        <w:rPr>
          <w:b/>
          <w:bCs/>
        </w:rPr>
        <w:t xml:space="preserve">Art. 48 [Odszkodowanie] </w:t>
      </w:r>
      <w:r>
        <w:t>Odszkodowanie nie przysługuje:</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1) </w:t>
      </w:r>
      <w:r>
        <w:t xml:space="preserve"> osobom, którym przydzielono grunty stanowiące własność Skarbu Państwa jako deputaty rolne na gruntach leśnych;</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2) </w:t>
      </w:r>
      <w:r>
        <w:t xml:space="preserve"> posiadaczom uszkodzonych upraw lub płodów rolnych, którzy nie dokonali ich sprzętu w terminie 14 dni od dnia zakończenia okresu zbioru tego gatunku roślin w danym regionie, określonego przez sejmik województwa w drodze uchwały;</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3) </w:t>
      </w:r>
      <w:r>
        <w:rPr>
          <w:vertAlign w:val="superscript"/>
        </w:rPr>
        <w:t>10)</w:t>
      </w:r>
      <w:r>
        <w:rPr>
          <w:vertAlign w:val="superscript"/>
        </w:rPr>
        <w:endnoteReference w:customMarkFollows="1" w:id="1"/>
        <w:t xml:space="preserve"> </w:t>
      </w:r>
      <w:r>
        <w:rPr>
          <w:i/>
          <w:iCs/>
        </w:rPr>
        <w:t>posiadaczom uszkodzonych upraw lub plonów rolnych, którzy nie wyrazili zgody na budowę przez dzierżawcę lub zarządcę obwodu łowieckiego urządzeń lub wykonywanie zabiegów zapobiegających szkodom;</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4) </w:t>
      </w:r>
      <w:r>
        <w:t xml:space="preserve"> za szkody nieprzekraczające wartości 100 kg żyta w przeliczeniu na 1 hektar uprawy;</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5) </w:t>
      </w:r>
      <w:r>
        <w:t xml:space="preserve"> za szkody powstałe w płodach złożonych w sterty, stogi i kopce, w bezpośrednim sąsiedztwie lasu;</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6) </w:t>
      </w:r>
      <w:r>
        <w:t xml:space="preserve"> za szkody w uprawach rolnych założonych z rażącym naruszeniem zasad agrotechnicznych;</w:t>
      </w:r>
    </w:p>
    <w:p w:rsidR="00F262D5" w:rsidRDefault="00F262D5" w:rsidP="00F262D5">
      <w:pPr>
        <w:rPr>
          <w:rFonts w:ascii="Times New Roman" w:hAnsi="Times New Roman" w:cs="Times New Roman"/>
          <w:color w:val="auto"/>
          <w:sz w:val="24"/>
          <w:szCs w:val="24"/>
        </w:rPr>
      </w:pPr>
    </w:p>
    <w:p w:rsidR="00F262D5" w:rsidRDefault="00F262D5" w:rsidP="00F262D5">
      <w:pPr>
        <w:pStyle w:val="divpoint"/>
      </w:pPr>
      <w:r>
        <w:rPr>
          <w:b/>
          <w:bCs/>
        </w:rPr>
        <w:t xml:space="preserve">7) </w:t>
      </w:r>
      <w:r>
        <w:t xml:space="preserve"> za szkody, o których mowa w art. 46 ust. 1, powstałe na nieruchomościach, w odniesieniu do których właściciel albo użytkownik wieczysty złożył oświadczenie o zakazie wykonywania polowania, o którym mowa w art. 27b ust. 1 - do dnia następującego po dniu: </w:t>
      </w:r>
    </w:p>
    <w:p w:rsidR="00F262D5" w:rsidRDefault="00F262D5" w:rsidP="00F262D5">
      <w:pPr>
        <w:pStyle w:val="divpkt"/>
      </w:pPr>
      <w:r>
        <w:rPr>
          <w:b/>
          <w:bCs/>
        </w:rPr>
        <w:t xml:space="preserve"> a) </w:t>
      </w:r>
      <w:r>
        <w:t xml:space="preserve"> w którym oświadczenie o zakazie wykonywania polowania zostało cofnięte albo </w:t>
      </w:r>
    </w:p>
    <w:p w:rsidR="00F262D5" w:rsidRDefault="00F262D5" w:rsidP="00F262D5">
      <w:pPr>
        <w:pStyle w:val="divpkt"/>
      </w:pPr>
      <w:r>
        <w:rPr>
          <w:b/>
          <w:bCs/>
        </w:rPr>
        <w:t xml:space="preserve"> b) </w:t>
      </w:r>
      <w:r>
        <w:t xml:space="preserve"> w którym organ właściwy do wydzierżawienia obwodu łowieckiego albo minister właściwy do spraw środowiska lub dzierżawca albo zarządca obwodu łowieckiego dowiedział się o wygaśnięciu zakazu wykonywania polowania albo </w:t>
      </w:r>
    </w:p>
    <w:p w:rsidR="00F262D5" w:rsidRDefault="00F262D5" w:rsidP="00F262D5">
      <w:pPr>
        <w:pStyle w:val="divpkt"/>
      </w:pPr>
      <w:r>
        <w:rPr>
          <w:b/>
          <w:bCs/>
        </w:rPr>
        <w:t xml:space="preserve"> c) </w:t>
      </w:r>
      <w:r>
        <w:t xml:space="preserve"> zawiadomienia o cofnięciu oświadczenia o zakazie wykonywania polowania organu właściwego do wydzierżawienia obwodu łowieckiego albo ministra właściwego do spraw środowiska. </w:t>
      </w:r>
    </w:p>
    <w:p w:rsidR="00B16B93" w:rsidRDefault="00B16B93"/>
    <w:sectPr w:rsidR="00B16B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F95" w:rsidRDefault="00352F95" w:rsidP="00F262D5">
      <w:pPr>
        <w:spacing w:line="240" w:lineRule="auto"/>
      </w:pPr>
      <w:r>
        <w:separator/>
      </w:r>
    </w:p>
  </w:endnote>
  <w:endnote w:type="continuationSeparator" w:id="0">
    <w:p w:rsidR="00352F95" w:rsidRDefault="00352F95" w:rsidP="00F262D5">
      <w:pPr>
        <w:spacing w:line="240" w:lineRule="auto"/>
      </w:pPr>
      <w:r>
        <w:continuationSeparator/>
      </w:r>
    </w:p>
  </w:endnote>
  <w:endnote w:id="1">
    <w:p w:rsidR="00F262D5" w:rsidRDefault="00F262D5" w:rsidP="00F262D5">
      <w:pPr>
        <w:spacing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sz w:val="16"/>
          <w:szCs w:val="16"/>
          <w:vertAlign w:val="superscript"/>
        </w:rPr>
        <w:t>10)</w:t>
      </w:r>
      <w:r>
        <w:rPr>
          <w:rFonts w:ascii="Times New Roman" w:hAnsi="Times New Roman" w:cs="Times New Roman"/>
          <w:color w:val="auto"/>
          <w:sz w:val="24"/>
          <w:szCs w:val="24"/>
        </w:rPr>
        <w:t xml:space="preserve">   </w:t>
      </w:r>
      <w:r>
        <w:rPr>
          <w:sz w:val="16"/>
          <w:szCs w:val="16"/>
        </w:rPr>
        <w:t>Zgodnie z wyrokiem Tryb. Konst. z dnia 8.05.2019 r. (Dz.U. z 2019 r. poz. 897) art. 48 pkt 3, w zakresie, w jakim przewiduje – jako skutek odmowy zgody na budowę urządzeń lub wykonywanie zabiegów zapobiegających szkodom – zwolnienie dzierżawcy lub zarządcy obwodu łowieckiego od odpowiedzialności za szkody łowieckie niepozostające w związku przyczynowym z taką odmową zgody, został uznany za niezgodny z art. 64 ust. 2 w związku z art. 31 ust. 3 Konstytucji RP. Utrata mocy, w tym zakresie, nastąpi 14.05.2019 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F95" w:rsidRDefault="00352F95" w:rsidP="00F262D5">
      <w:pPr>
        <w:spacing w:line="240" w:lineRule="auto"/>
      </w:pPr>
      <w:r>
        <w:separator/>
      </w:r>
    </w:p>
  </w:footnote>
  <w:footnote w:type="continuationSeparator" w:id="0">
    <w:p w:rsidR="00352F95" w:rsidRDefault="00352F95" w:rsidP="00F262D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D5"/>
    <w:rsid w:val="001B02D3"/>
    <w:rsid w:val="00352F95"/>
    <w:rsid w:val="0071405E"/>
    <w:rsid w:val="00B16B93"/>
    <w:rsid w:val="00F262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E306E-390B-4F72-9B52-19C019D8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99"/>
    <w:qFormat/>
    <w:rsid w:val="00F262D5"/>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ivpoint">
    <w:name w:val="div.point"/>
    <w:uiPriority w:val="99"/>
    <w:rsid w:val="00F262D5"/>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F262D5"/>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h1chapter">
    <w:name w:val="h1.chapter"/>
    <w:uiPriority w:val="99"/>
    <w:rsid w:val="00F262D5"/>
    <w:pPr>
      <w:widowControl w:val="0"/>
      <w:autoSpaceDE w:val="0"/>
      <w:autoSpaceDN w:val="0"/>
      <w:adjustRightInd w:val="0"/>
      <w:spacing w:before="180" w:after="0" w:line="180" w:lineRule="atLeast"/>
      <w:jc w:val="center"/>
    </w:pPr>
    <w:rPr>
      <w:rFonts w:ascii="Helvetica" w:eastAsiaTheme="minorEastAsia" w:hAnsi="Helvetica" w:cs="Helvetica"/>
      <w:b/>
      <w:bCs/>
      <w:color w:val="000000"/>
      <w:sz w:val="18"/>
      <w:szCs w:val="18"/>
      <w:lang w:eastAsia="pl-PL"/>
    </w:rPr>
  </w:style>
  <w:style w:type="paragraph" w:customStyle="1" w:styleId="divparagraph">
    <w:name w:val="div.paragraph"/>
    <w:uiPriority w:val="99"/>
    <w:rsid w:val="00F262D5"/>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1717</Words>
  <Characters>10306</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N.Wichrowo Tomasz Tokarczyk</dc:creator>
  <cp:keywords/>
  <dc:description/>
  <cp:lastModifiedBy>N.Wichrowo Agnieszka Wierzbicka</cp:lastModifiedBy>
  <cp:revision>2</cp:revision>
  <dcterms:created xsi:type="dcterms:W3CDTF">2019-05-28T07:01:00Z</dcterms:created>
  <dcterms:modified xsi:type="dcterms:W3CDTF">2019-05-28T07:01:00Z</dcterms:modified>
</cp:coreProperties>
</file>